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360" w:before="0" w:line="259.20000000000005" w:lineRule="auto"/>
        <w:rPr>
          <w:sz w:val="24"/>
          <w:szCs w:val="24"/>
        </w:rPr>
      </w:pPr>
      <w:bookmarkStart w:colFirst="0" w:colLast="0" w:name="_qjc7tx7hne0l" w:id="0"/>
      <w:bookmarkEnd w:id="0"/>
      <w:r w:rsidDel="00000000" w:rsidR="00000000" w:rsidRPr="00000000">
        <w:rPr>
          <w:b w:val="1"/>
          <w:sz w:val="44"/>
          <w:szCs w:val="44"/>
          <w:rtl w:val="0"/>
        </w:rPr>
        <w:t xml:space="preserve">Strategy Offsites: A Practical Guide to Design and Facilitate Transformative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spacing w:after="40" w:before="240" w:line="259" w:lineRule="auto"/>
        <w:rPr>
          <w:b w:val="1"/>
        </w:rPr>
      </w:pPr>
      <w:bookmarkStart w:colFirst="0" w:colLast="0" w:name="_vyxui54iq5le" w:id="1"/>
      <w:bookmarkEnd w:id="1"/>
      <w:r w:rsidDel="00000000" w:rsidR="00000000" w:rsidRPr="00000000">
        <w:rPr>
          <w:b w:val="1"/>
          <w:rtl w:val="0"/>
        </w:rPr>
        <w:t xml:space="preserve">Action Plan and Follow-Up Templates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4"/>
        <w:spacing w:after="40" w:before="240" w:line="259" w:lineRule="auto"/>
        <w:rPr>
          <w:rFonts w:ascii="Aptos" w:cs="Aptos" w:eastAsia="Aptos" w:hAnsi="Aptos"/>
          <w:sz w:val="28"/>
          <w:szCs w:val="28"/>
        </w:rPr>
      </w:pPr>
      <w:bookmarkStart w:colFirst="0" w:colLast="0" w:name="_qohhns8sivcf" w:id="2"/>
      <w:bookmarkEnd w:id="2"/>
      <w:r w:rsidDel="00000000" w:rsidR="00000000" w:rsidRPr="00000000">
        <w:rPr>
          <w:rFonts w:ascii="Aptos" w:cs="Aptos" w:eastAsia="Aptos" w:hAnsi="Aptos"/>
          <w:b w:val="1"/>
          <w:color w:val="000000"/>
          <w:sz w:val="28"/>
          <w:szCs w:val="28"/>
          <w:rtl w:val="0"/>
        </w:rPr>
        <w:t xml:space="preserve">Action Plan Template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="259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This template provides a simple, yet comprehensive format for capturing key decisions, tasks, and deadlines during and after the offsite. It ensures that each strategic decision made at the offsite is backed by a clear plan for execution.</w:t>
      </w:r>
    </w:p>
    <w:tbl>
      <w:tblPr>
        <w:tblStyle w:val="Table1"/>
        <w:tblW w:w="90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35"/>
        <w:gridCol w:w="6510"/>
        <w:tblGridChange w:id="0">
          <w:tblGrid>
            <w:gridCol w:w="2535"/>
            <w:gridCol w:w="651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200" w:line="259" w:lineRule="auto"/>
              <w:jc w:val="center"/>
              <w:rPr>
                <w:rFonts w:ascii="Aptos" w:cs="Aptos" w:eastAsia="Aptos" w:hAnsi="Aptos"/>
                <w:sz w:val="28"/>
                <w:szCs w:val="28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8"/>
                <w:szCs w:val="28"/>
                <w:rtl w:val="0"/>
              </w:rPr>
              <w:t xml:space="preserve">Action Plan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200" w:line="259" w:lineRule="auto"/>
              <w:jc w:val="center"/>
              <w:rPr>
                <w:rFonts w:ascii="Aptos" w:cs="Aptos" w:eastAsia="Aptos" w:hAnsi="Apto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Strategic Initiative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Identify the overall strategic initiative or goal that this action plan addresses (e.g., "Expand into new markets").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Briefly describe the initiative and its intended outcomes (e.g., "Develop a market expansion strategy for Southeast Asia over the next 12 months").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Assign a person or team responsible for overseeing the initiative's execution (e.g., "John Doe, VP of Sales").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Key Tasks and Actions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List the specific tasks required to achieve the initiative (e.g., "Conduct market research," "Establish distribution channels").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Deadline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Provide deadlines for each task, ensuring they align with the initiative’s overall timeline (e.g., "Market research completed by January 15").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Resources Needed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Identify any required resources, such as budget, personnel, or technology, to complete the tasks (e.g., "Hiring a market analyst, $20,000 for research").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Key Milestones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Define significant progress points for the initiative (e.g., "Preliminary market analysis by December 1," "Partnership agreements by March 30").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Dependencies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List any tasks or initiatives that are dependent on others being completed first (e.g., "Distribution agreements depend on market analysis findings").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Risk and Mitigation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Identify potential risks to the initiative’s success and outline strategies to mitigate them (e.g., "Risk: Regulatory delays. Mitigation: Engage legal experts early").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Follow-Up Frequency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Specify how often progress will be reviewed (e.g., "Weekly check-ins with project team").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Status Update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0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Include regular updates on the current status of each task (e.g., "In progress," "Completed," "Delayed due to external vendor").</w:t>
            </w:r>
          </w:p>
        </w:tc>
      </w:tr>
    </w:tbl>
    <w:p w:rsidR="00000000" w:rsidDel="00000000" w:rsidP="00000000" w:rsidRDefault="00000000" w:rsidRPr="00000000" w14:paraId="0000001D">
      <w:pPr>
        <w:pStyle w:val="Heading4"/>
        <w:spacing w:after="240" w:before="240" w:line="259" w:lineRule="auto"/>
        <w:rPr>
          <w:rFonts w:ascii="Aptos" w:cs="Aptos" w:eastAsia="Aptos" w:hAnsi="Aptos"/>
          <w:b w:val="1"/>
          <w:color w:val="000000"/>
          <w:sz w:val="26"/>
          <w:szCs w:val="26"/>
        </w:rPr>
      </w:pPr>
      <w:bookmarkStart w:colFirst="0" w:colLast="0" w:name="_jsipi5inb28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="259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4"/>
        <w:spacing w:after="40" w:before="240" w:line="259" w:lineRule="auto"/>
        <w:rPr>
          <w:rFonts w:ascii="Aptos" w:cs="Aptos" w:eastAsia="Aptos" w:hAnsi="Aptos"/>
          <w:b w:val="1"/>
          <w:color w:val="000000"/>
          <w:sz w:val="28"/>
          <w:szCs w:val="28"/>
        </w:rPr>
      </w:pPr>
      <w:bookmarkStart w:colFirst="0" w:colLast="0" w:name="_fklt132zana5" w:id="4"/>
      <w:bookmarkEnd w:id="4"/>
      <w:r w:rsidDel="00000000" w:rsidR="00000000" w:rsidRPr="00000000">
        <w:rPr>
          <w:rFonts w:ascii="Aptos" w:cs="Aptos" w:eastAsia="Aptos" w:hAnsi="Aptos"/>
          <w:b w:val="1"/>
          <w:color w:val="000000"/>
          <w:sz w:val="28"/>
          <w:szCs w:val="28"/>
          <w:rtl w:val="0"/>
        </w:rPr>
        <w:t xml:space="preserve">Follow-Up Template</w:t>
      </w:r>
    </w:p>
    <w:p w:rsidR="00000000" w:rsidDel="00000000" w:rsidP="00000000" w:rsidRDefault="00000000" w:rsidRPr="00000000" w14:paraId="00000021">
      <w:pPr>
        <w:spacing w:after="240" w:before="240" w:line="259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The follow-up template helps ensure that action plans are being executed as intended and provides a structured approach to tracking and reviewing progress over time. It includes fields for status updates, progress tracking, and issues that need to be resolved.</w:t>
      </w:r>
    </w:p>
    <w:tbl>
      <w:tblPr>
        <w:tblStyle w:val="Table2"/>
        <w:tblW w:w="92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35"/>
        <w:gridCol w:w="7085"/>
        <w:tblGridChange w:id="0">
          <w:tblGrid>
            <w:gridCol w:w="2135"/>
            <w:gridCol w:w="7085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00" w:line="259" w:lineRule="auto"/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8"/>
                <w:szCs w:val="28"/>
                <w:rtl w:val="0"/>
              </w:rPr>
              <w:t xml:space="preserve">Follow-Up Plan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before="240" w:line="259" w:lineRule="auto"/>
              <w:jc w:val="center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Date of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Enter the date of the review or follow-up session (e.g., "February 15").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Initiative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Name the strategic initiative or project being reviewed (e.g., "Southeast Asia Market Expansion").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Owner(s)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List the individuals or teams responsible for the initiative’s execution (e.g., "John Doe, VP of Sales").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Key Actions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Summarize the critical actions or tasks identified in the original action plan (e.g., "Complete market research, finalize distribution partnerships").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Current 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Provide an update on the current status of each key action (e.g., "Market research completed, distribution agreements in progress").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Progress Toward Milestones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Evaluate whether key milestones are being met on time (e.g., "Preliminary market analysis completed on schedule, partnership agreements delayed").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Issues or Challenges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Document any challenges or obstacles that have arisen (e.g., "Delay in regulatory approvals, limited resources for distribution agreements").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Mitigation Strategies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Outline the strategies or solutions proposed to address the identified challenges (e.g., "Engage local legal team to expedite regulatory approval").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Next Steps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Specify the next actions that need to be taken to move the initiative forward (e.g., "Schedule partnership meetings, finalize contracts").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Revised Deadlines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If applicable, adjust any deadlines based on the progress or issues encountered (e.g., "Extend contract finalization deadline to March 15").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Additional Resources Needed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Identify any new resources required to complete the next steps (e.g., "Additional $5,000 for market outreach, hire local consultant").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sz w:val="24"/>
                <w:szCs w:val="24"/>
                <w:rtl w:val="0"/>
              </w:rPr>
              <w:t xml:space="preserve">Date of Next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40" w:before="240" w:line="259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Set the date for the next follow-up meeting or review (e.g., "March 1").</w:t>
            </w:r>
          </w:p>
        </w:tc>
      </w:tr>
    </w:tbl>
    <w:p w:rsidR="00000000" w:rsidDel="00000000" w:rsidP="00000000" w:rsidRDefault="00000000" w:rsidRPr="00000000" w14:paraId="0000003C">
      <w:pPr>
        <w:spacing w:after="240" w:before="24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40" w:before="240" w:line="259" w:lineRule="auto"/>
        <w:ind w:left="0" w:firstLine="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jc w:val="center"/>
      <w:rPr/>
    </w:pPr>
    <w:hyperlink r:id="rId1">
      <w:r w:rsidDel="00000000" w:rsidR="00000000" w:rsidRPr="00000000">
        <w:rPr>
          <w:color w:val="1155cc"/>
          <w:sz w:val="24"/>
          <w:szCs w:val="24"/>
          <w:u w:val="single"/>
          <w:rtl w:val="0"/>
        </w:rPr>
        <w:t xml:space="preserve">umbrex.com/resources/strategy-offsites-guide-to-transformative-events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jc w:val="center"/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2690813</wp:posOffset>
          </wp:positionH>
          <wp:positionV relativeFrom="page">
            <wp:posOffset>104775</wp:posOffset>
          </wp:positionV>
          <wp:extent cx="2028825" cy="573891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28825" cy="57389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umbrex.com/resources/strategy-offsites-guide-to-transformative-events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